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4">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000000" w:rsidDel="00000000" w:rsidP="00000000" w:rsidRDefault="00000000" w:rsidRPr="00000000" w14:paraId="0000000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there other Party is also “Controller”,</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0C">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with undue delay if it considers that any of the Controller’s instructions infringe the Data Protection Legislation.</w:t>
      </w:r>
    </w:p>
    <w:p w:rsidR="00000000" w:rsidDel="00000000" w:rsidP="00000000" w:rsidRDefault="00000000" w:rsidRPr="00000000" w14:paraId="0000000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0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0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Services;</w:t>
      </w:r>
    </w:p>
    <w:p w:rsidR="00000000" w:rsidDel="00000000" w:rsidP="00000000" w:rsidRDefault="00000000" w:rsidRPr="00000000" w14:paraId="00000010">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1">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2">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3">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4">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5">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6">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7">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8">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A">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1C">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D">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1E">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1F">
      <w:pPr>
        <w:numPr>
          <w:ilvl w:val="4"/>
          <w:numId w:val="5"/>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0">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p w:rsidR="00000000" w:rsidDel="00000000" w:rsidP="00000000" w:rsidRDefault="00000000" w:rsidRPr="00000000" w14:paraId="00000021">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p>
    <w:p w:rsidR="00000000" w:rsidDel="00000000" w:rsidP="00000000" w:rsidRDefault="00000000" w:rsidRPr="00000000" w14:paraId="00000022">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3">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4">
      <w:pPr>
        <w:numPr>
          <w:ilvl w:val="3"/>
          <w:numId w:val="5"/>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26in1rg" w:id="0"/>
      <w:bookmarkEnd w:id="0"/>
      <w:r w:rsidDel="00000000" w:rsidR="00000000" w:rsidRPr="00000000">
        <w:rPr>
          <w:rFonts w:ascii="Arial" w:cs="Arial" w:eastAsia="Arial" w:hAnsi="Arial"/>
          <w:sz w:val="24"/>
          <w:szCs w:val="24"/>
          <w:rtl w:val="0"/>
        </w:rPr>
        <w:t xml:space="preserve">Subject to paragraph 7 of this Joint Schedule 11, the Processor  shall notify the Controller with undue delay if in relation to it Processing Personal Data under or in connection with the Contract it:</w:t>
      </w:r>
    </w:p>
    <w:p w:rsidR="00000000" w:rsidDel="00000000" w:rsidP="00000000" w:rsidRDefault="00000000" w:rsidRPr="00000000" w14:paraId="00000027">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8">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9">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A">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2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2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2F">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0">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1">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2">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3">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4">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5">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6">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7">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A">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B">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3C">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3D">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3E">
      <w:pPr>
        <w:numPr>
          <w:ilvl w:val="2"/>
          <w:numId w:val="5"/>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3F">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0">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1">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rsidR="00000000" w:rsidDel="00000000" w:rsidP="00000000" w:rsidRDefault="00000000" w:rsidRPr="00000000" w14:paraId="00000042">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3">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r w:rsidDel="00000000" w:rsidR="00000000" w:rsidRPr="00000000">
        <w:rPr>
          <w:rFonts w:ascii="Arial" w:cs="Arial" w:eastAsia="Arial" w:hAnsi="Arial"/>
          <w:i w:val="1"/>
          <w:sz w:val="24"/>
          <w:szCs w:val="24"/>
          <w:rtl w:val="0"/>
        </w:rPr>
        <w:t xml:space="preserve">Processing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5">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6">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7">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8">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p>
    <w:p w:rsidR="00000000" w:rsidDel="00000000" w:rsidP="00000000" w:rsidRDefault="00000000" w:rsidRPr="00000000" w14:paraId="0000004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p>
    <w:p w:rsidR="00000000" w:rsidDel="00000000" w:rsidP="00000000" w:rsidRDefault="00000000" w:rsidRPr="00000000" w14:paraId="0000004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00000" w:rsidDel="00000000" w:rsidP="00000000" w:rsidRDefault="00000000" w:rsidRPr="00000000" w14:paraId="0000004E">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p>
    <w:p w:rsidR="00000000" w:rsidDel="00000000" w:rsidP="00000000" w:rsidRDefault="00000000" w:rsidRPr="00000000" w14:paraId="0000004F">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2">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3">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numPr>
          <w:ilvl w:val="1"/>
          <w:numId w:val="5"/>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5F">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w:t>
      </w:r>
    </w:p>
    <w:p w:rsidR="00000000" w:rsidDel="00000000" w:rsidP="00000000" w:rsidRDefault="00000000" w:rsidRPr="00000000" w14:paraId="00000060">
      <w:pPr>
        <w:keepNext w:val="1"/>
        <w:numPr>
          <w:ilvl w:val="3"/>
          <w:numId w:val="6"/>
        </w:numPr>
        <w:spacing w:after="0" w:line="240" w:lineRule="auto"/>
        <w:ind w:left="72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TEXT under FOIA Section 40, Personal Information</w:t>
      </w:r>
    </w:p>
    <w:p w:rsidR="00000000" w:rsidDel="00000000" w:rsidP="00000000" w:rsidRDefault="00000000" w:rsidRPr="00000000" w14:paraId="00000061">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rtl w:val="0"/>
        </w:rPr>
        <w:t xml:space="preserve">REDACTED TEXT under FOIA Section 40, Personal Information</w:t>
      </w:r>
    </w:p>
    <w:p w:rsidR="00000000" w:rsidDel="00000000" w:rsidP="00000000" w:rsidRDefault="00000000" w:rsidRPr="00000000" w14:paraId="00000062">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3">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4">
      <w:pPr>
        <w:keepNext w:val="1"/>
        <w:ind w:left="720" w:firstLine="0"/>
        <w:rPr>
          <w:rFonts w:ascii="Arial" w:cs="Arial" w:eastAsia="Arial" w:hAnsi="Arial"/>
          <w:sz w:val="24"/>
          <w:szCs w:val="24"/>
        </w:rPr>
      </w:pPr>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6">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7">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9">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highlight w:val="white"/>
              </w:rPr>
            </w:pPr>
            <w:r w:rsidDel="00000000" w:rsidR="00000000" w:rsidRPr="00000000">
              <w:rPr>
                <w:rFonts w:ascii="Arial" w:cs="Arial" w:eastAsia="Arial" w:hAnsi="Arial"/>
                <w:b w:val="1"/>
                <w:i w:val="1"/>
                <w:color w:val="000000"/>
                <w:sz w:val="24"/>
                <w:szCs w:val="24"/>
                <w:highlight w:val="white"/>
                <w:rtl w:val="0"/>
              </w:rPr>
              <w:t xml:space="preserve">Any and all data contained, extracted, enriched and from  within our current and future Cabinet Office ERP solutions. </w:t>
            </w:r>
            <w:r w:rsidDel="00000000" w:rsidR="00000000" w:rsidRPr="00000000">
              <w:rPr>
                <w:rtl w:val="0"/>
              </w:rPr>
            </w:r>
          </w:p>
          <w:p w:rsidR="00000000" w:rsidDel="00000000" w:rsidP="00000000" w:rsidRDefault="00000000" w:rsidRPr="00000000" w14:paraId="0000006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i w:val="1"/>
                <w:strike w:val="1"/>
                <w:sz w:val="24"/>
                <w:szCs w:val="24"/>
                <w:rtl w:val="0"/>
              </w:rPr>
              <w:t xml:space="preserve"> </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ffffff" w:val="clear"/>
          </w:tcPr>
          <w:p w:rsidR="00000000" w:rsidDel="00000000" w:rsidP="00000000" w:rsidRDefault="00000000" w:rsidRPr="00000000" w14:paraId="0000006F">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0">
            <w:pPr>
              <w:numPr>
                <w:ilvl w:val="0"/>
                <w:numId w:val="1"/>
              </w:numPr>
              <w:spacing w:after="0" w:lineRule="auto"/>
              <w:ind w:left="720" w:hanging="360"/>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The duration of the processing will be for the duration of this contract plus any agreed contractual extension.</w:t>
            </w:r>
          </w:p>
          <w:p w:rsidR="00000000" w:rsidDel="00000000" w:rsidP="00000000" w:rsidRDefault="00000000" w:rsidRPr="00000000" w14:paraId="00000071">
            <w:pPr>
              <w:numPr>
                <w:ilvl w:val="0"/>
                <w:numId w:val="1"/>
              </w:numPr>
              <w:ind w:left="720" w:hanging="360"/>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The Supplier is contracted to deliver data migration activities from the date of this contract through to ERP implementation with go-live currently scheduled for June 2026 to include data migration activities for hypercare or a later go-live date notified by the Matrix Programme.</w:t>
            </w:r>
          </w:p>
        </w:tc>
      </w:tr>
      <w:tr>
        <w:trPr>
          <w:cantSplit w:val="0"/>
          <w:trHeight w:val="1520" w:hRule="atLeast"/>
          <w:tblHeader w:val="0"/>
        </w:trPr>
        <w:tc>
          <w:tcPr>
            <w:shd w:fill="auto" w:val="clear"/>
          </w:tcPr>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is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75">
            <w:pPr>
              <w:rPr>
                <w:rFonts w:ascii="Arial" w:cs="Arial" w:eastAsia="Arial" w:hAnsi="Arial"/>
                <w:strike w:val="1"/>
                <w:sz w:val="24"/>
                <w:szCs w:val="24"/>
              </w:rPr>
            </w:pPr>
            <w:r w:rsidDel="00000000" w:rsidR="00000000" w:rsidRPr="00000000">
              <w:rPr>
                <w:rFonts w:ascii="Arial" w:cs="Arial" w:eastAsia="Arial" w:hAnsi="Arial"/>
                <w:i w:val="1"/>
                <w:sz w:val="24"/>
                <w:szCs w:val="24"/>
                <w:rtl w:val="0"/>
              </w:rPr>
              <w:t xml:space="preserve">The purpose is to establish a new ERP platform. </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ffffff" w:val="clear"/>
          </w:tcPr>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sdt>
            <w:sdtPr>
              <w:lock w:val="contentLocked"/>
              <w:tag w:val="goog_rdk_0"/>
            </w:sdtPr>
            <w:sdtContent>
              <w:tbl>
                <w:tblPr>
                  <w:tblStyle w:val="Table2"/>
                  <w:tblW w:w="71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85"/>
                  <w:gridCol w:w="4785"/>
                  <w:tblGridChange w:id="0">
                    <w:tblGrid>
                      <w:gridCol w:w="2385"/>
                      <w:gridCol w:w="478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Table Name</w:t>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Personal data held in that table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HR People</w:t>
                      </w:r>
                    </w:p>
                  </w:tc>
                  <w:tc>
                    <w:tcPr>
                      <w:shd w:fill="auto" w:val="clear"/>
                      <w:tcMar>
                        <w:top w:w="100.0" w:type="dxa"/>
                        <w:left w:w="100.0" w:type="dxa"/>
                        <w:bottom w:w="100.0" w:type="dxa"/>
                        <w:right w:w="100.0" w:type="dxa"/>
                      </w:tcMar>
                    </w:tcPr>
                    <w:p w:rsidR="00000000" w:rsidDel="00000000" w:rsidP="00000000" w:rsidRDefault="00000000" w:rsidRPr="00000000" w14:paraId="0000007B">
                      <w:pP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Personal data including full name, DOB, ethnicity, religion, disability, sexual orientation, gender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HR Addresses</w:t>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Personal data - addresses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HR All Assignments</w:t>
                      </w:r>
                    </w:p>
                  </w:tc>
                  <w:tc>
                    <w:tcPr>
                      <w:shd w:fill="auto" w:val="clear"/>
                      <w:tcMar>
                        <w:top w:w="100.0" w:type="dxa"/>
                        <w:left w:w="100.0" w:type="dxa"/>
                        <w:bottom w:w="100.0" w:type="dxa"/>
                        <w:right w:w="100.0" w:type="dxa"/>
                      </w:tcMar>
                    </w:tcPr>
                    <w:p w:rsidR="00000000" w:rsidDel="00000000" w:rsidP="00000000" w:rsidRDefault="00000000" w:rsidRPr="00000000" w14:paraId="0000007F">
                      <w:pP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Employment information - Trade Union Membership, Job Location, Line Manager, Grade.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HR All People</w:t>
                      </w:r>
                    </w:p>
                  </w:tc>
                  <w:tc>
                    <w:tcPr>
                      <w:shd w:fill="auto" w:val="clear"/>
                      <w:tcMar>
                        <w:top w:w="100.0" w:type="dxa"/>
                        <w:left w:w="100.0" w:type="dxa"/>
                        <w:bottom w:w="100.0" w:type="dxa"/>
                        <w:right w:w="100.0" w:type="dxa"/>
                      </w:tcMar>
                    </w:tcPr>
                    <w:p w:rsidR="00000000" w:rsidDel="00000000" w:rsidP="00000000" w:rsidRDefault="00000000" w:rsidRPr="00000000" w14:paraId="00000081">
                      <w:pP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Personal data including full name, DOB, ethnicity, religion, disability, sexual orientation, gender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HR Person</w:t>
                      </w:r>
                    </w:p>
                  </w:tc>
                  <w:tc>
                    <w:tcPr>
                      <w:shd w:fill="auto" w:val="clear"/>
                      <w:tcMar>
                        <w:top w:w="100.0" w:type="dxa"/>
                        <w:left w:w="100.0" w:type="dxa"/>
                        <w:bottom w:w="100.0" w:type="dxa"/>
                        <w:right w:w="100.0" w:type="dxa"/>
                      </w:tcMar>
                    </w:tcPr>
                    <w:p w:rsidR="00000000" w:rsidDel="00000000" w:rsidP="00000000" w:rsidRDefault="00000000" w:rsidRPr="00000000" w14:paraId="00000083">
                      <w:pPr>
                        <w:spacing w:after="0" w:line="240"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Personal data including full name, DOB, ethnicity, religion, disability, sexual orientation, gender</w:t>
                      </w:r>
                    </w:p>
                  </w:tc>
                </w:tr>
              </w:tbl>
            </w:sdtContent>
          </w:sdt>
          <w:p w:rsidR="00000000" w:rsidDel="00000000" w:rsidP="00000000" w:rsidRDefault="00000000" w:rsidRPr="00000000" w14:paraId="00000084">
            <w:pPr>
              <w:rPr>
                <w:rFonts w:ascii="Arial" w:cs="Arial" w:eastAsia="Arial" w:hAnsi="Arial"/>
                <w:i w:val="1"/>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ffffff" w:val="clear"/>
          </w:tcPr>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Employees, ex-employees, contractors.  Anyone who has a SOP or Workday account. Any supplier or customer and their transactions. GL balances, ledgers and subledgers</w:t>
            </w:r>
          </w:p>
        </w:tc>
      </w:tr>
      <w:tr>
        <w:trPr>
          <w:cantSplit w:val="0"/>
          <w:trHeight w:val="16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ffffff"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A">
            <w:pPr>
              <w:numPr>
                <w:ilvl w:val="0"/>
                <w:numId w:val="9"/>
              </w:numPr>
              <w:spacing w:after="0" w:lineRule="auto"/>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Supplier will access data through Cabinet Office or protected networks. </w:t>
            </w:r>
          </w:p>
          <w:p w:rsidR="00000000" w:rsidDel="00000000" w:rsidP="00000000" w:rsidRDefault="00000000" w:rsidRPr="00000000" w14:paraId="0000008B">
            <w:pPr>
              <w:numPr>
                <w:ilvl w:val="0"/>
                <w:numId w:val="9"/>
              </w:numPr>
              <w:spacing w:after="0" w:lineRule="auto"/>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Supplier will not be taking data off CO or protected platforms and will therefore not have retention of data outside of CO or protected Networks.</w:t>
            </w:r>
          </w:p>
          <w:p w:rsidR="00000000" w:rsidDel="00000000" w:rsidP="00000000" w:rsidRDefault="00000000" w:rsidRPr="00000000" w14:paraId="0000008C">
            <w:pPr>
              <w:numPr>
                <w:ilvl w:val="0"/>
                <w:numId w:val="9"/>
              </w:numPr>
              <w:ind w:left="720" w:hanging="36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Supplier’s access to CO and protected platforms will be removed at the end of ERP implementation or contract whichever is sooner.</w:t>
            </w:r>
          </w:p>
          <w:p w:rsidR="00000000" w:rsidDel="00000000" w:rsidP="00000000" w:rsidRDefault="00000000" w:rsidRPr="00000000" w14:paraId="0000008D">
            <w:pPr>
              <w:rPr>
                <w:rFonts w:ascii="Arial" w:cs="Arial" w:eastAsia="Arial" w:hAnsi="Arial"/>
                <w:i w:val="1"/>
                <w:strike w:val="1"/>
                <w:sz w:val="24"/>
                <w:szCs w:val="24"/>
              </w:rPr>
            </w:pPr>
            <w:r w:rsidDel="00000000" w:rsidR="00000000" w:rsidRPr="00000000">
              <w:rPr>
                <w:rtl w:val="0"/>
              </w:rPr>
            </w:r>
          </w:p>
        </w:tc>
      </w:tr>
    </w:tbl>
    <w:p w:rsidR="00000000" w:rsidDel="00000000" w:rsidP="00000000" w:rsidRDefault="00000000" w:rsidRPr="00000000" w14:paraId="0000008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0">
      <w:pPr>
        <w:rPr>
          <w:rFonts w:ascii="Arial" w:cs="Arial" w:eastAsia="Arial" w:hAnsi="Arial"/>
          <w:sz w:val="24"/>
          <w:szCs w:val="24"/>
          <w:highlight w:val="white"/>
        </w:rPr>
      </w:pPr>
      <w:r w:rsidDel="00000000" w:rsidR="00000000" w:rsidRPr="00000000">
        <w:rPr>
          <w:rFonts w:ascii="Arial" w:cs="Arial" w:eastAsia="Arial" w:hAnsi="Arial"/>
          <w:b w:val="1"/>
          <w:sz w:val="24"/>
          <w:szCs w:val="24"/>
          <w:rtl w:val="0"/>
        </w:rPr>
        <w:t xml:space="preserve">Annex 2 - Joint Controller Agreement </w:t>
      </w:r>
      <w:r w:rsidDel="00000000" w:rsidR="00000000" w:rsidRPr="00000000">
        <w:rPr>
          <w:rFonts w:ascii="Arial" w:cs="Arial" w:eastAsia="Arial" w:hAnsi="Arial"/>
          <w:b w:val="1"/>
          <w:sz w:val="24"/>
          <w:szCs w:val="24"/>
          <w:highlight w:val="white"/>
          <w:rtl w:val="0"/>
        </w:rPr>
        <w:t xml:space="preserve">- Not applicable as controller / processor</w:t>
      </w:r>
      <w:r w:rsidDel="00000000" w:rsidR="00000000" w:rsidRPr="00000000">
        <w:rPr>
          <w:rtl w:val="0"/>
        </w:rPr>
      </w:r>
    </w:p>
    <w:p w:rsidR="00000000" w:rsidDel="00000000" w:rsidP="00000000" w:rsidRDefault="00000000" w:rsidRPr="00000000" w14:paraId="00000091">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2">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3">
      <w:pPr>
        <w:keepNext w:val="1"/>
        <w:rPr>
          <w:rFonts w:ascii="Arial" w:cs="Arial" w:eastAsia="Arial" w:hAnsi="Arial"/>
          <w:sz w:val="24"/>
          <w:szCs w:val="24"/>
        </w:rPr>
      </w:pPr>
      <w:bookmarkStart w:colFirst="0" w:colLast="0" w:name="_heading=h.gjdgxs" w:id="1"/>
      <w:bookmarkEnd w:id="1"/>
      <w:r w:rsidDel="00000000" w:rsidR="00000000" w:rsidRPr="00000000">
        <w:rPr>
          <w:rFonts w:ascii="Arial" w:cs="Arial" w:eastAsia="Arial" w:hAnsi="Arial"/>
          <w:sz w:val="24"/>
          <w:szCs w:val="24"/>
          <w:rtl w:val="0"/>
        </w:rPr>
        <w:t xml:space="preserve">1.2 The Parties agree that the [Supplier/Relevant Authority]: </w:t>
      </w:r>
    </w:p>
    <w:p w:rsidR="00000000" w:rsidDel="00000000" w:rsidP="00000000" w:rsidRDefault="00000000" w:rsidRPr="00000000" w14:paraId="00000094">
      <w:pPr>
        <w:ind w:left="99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is the exclusive point of contact for Data Subjects and is responsible for all steps necessary to comply with the GDPR regarding the exercise by Data Subjects of their rights under the GDPR;</w:t>
      </w:r>
    </w:p>
    <w:p w:rsidR="00000000" w:rsidDel="00000000" w:rsidP="00000000" w:rsidRDefault="00000000" w:rsidRPr="00000000" w14:paraId="00000095">
      <w:pPr>
        <w:ind w:left="99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6">
      <w:pPr>
        <w:ind w:left="99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is solely responsible for the Parties’ compliance with all duties to provide information to Data Subjects under Articles 13 and 14 of the GDPR;</w:t>
      </w:r>
    </w:p>
    <w:p w:rsidR="00000000" w:rsidDel="00000000" w:rsidP="00000000" w:rsidRDefault="00000000" w:rsidRPr="00000000" w14:paraId="00000097">
      <w:pPr>
        <w:ind w:left="99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is responsible for obtaining the informed consent of Data Subjects, in accordance with the GDPR, for Processing in connection with the Services where consent is the relevant legal basis for that Processing; and</w:t>
      </w:r>
    </w:p>
    <w:p w:rsidR="00000000" w:rsidDel="00000000" w:rsidP="00000000" w:rsidRDefault="00000000" w:rsidRPr="00000000" w14:paraId="00000098">
      <w:pPr>
        <w:ind w:left="99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9B">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C">
      <w:pPr>
        <w:ind w:left="1203" w:hanging="566"/>
        <w:rPr>
          <w:rFonts w:ascii="Arial" w:cs="Arial" w:eastAsia="Arial" w:hAnsi="Arial"/>
          <w:strike w:val="1"/>
          <w:sz w:val="24"/>
          <w:szCs w:val="24"/>
        </w:rPr>
      </w:pPr>
      <w:r w:rsidDel="00000000" w:rsidR="00000000" w:rsidRPr="00000000">
        <w:rPr>
          <w:rFonts w:ascii="Arial" w:cs="Arial" w:eastAsia="Arial" w:hAnsi="Arial"/>
          <w:sz w:val="24"/>
          <w:szCs w:val="24"/>
          <w:rtl w:val="0"/>
        </w:rPr>
        <w:t xml:space="preserve">(a)</w:t>
        <w:tab/>
        <w:t xml:space="preserve">report to the other Party every [x] months on:</w:t>
      </w:r>
      <w:r w:rsidDel="00000000" w:rsidR="00000000" w:rsidRPr="00000000">
        <w:rPr>
          <w:rtl w:val="0"/>
        </w:rPr>
      </w:r>
    </w:p>
    <w:p w:rsidR="00000000" w:rsidDel="00000000" w:rsidP="00000000" w:rsidRDefault="00000000" w:rsidRPr="00000000" w14:paraId="0000009D">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the volume of Data Subject Access Request (or purported Data Subject  Access Requests) from Data Subjects (or third parties on their behalf);</w:t>
      </w:r>
    </w:p>
    <w:p w:rsidR="00000000" w:rsidDel="00000000" w:rsidP="00000000" w:rsidRDefault="00000000" w:rsidRPr="00000000" w14:paraId="0000009E">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the volume of requests from Data Subjects (or third parties on their behalf) to rectify, block or erase any Personal Data; </w:t>
      </w:r>
    </w:p>
    <w:p w:rsidR="00000000" w:rsidDel="00000000" w:rsidP="00000000" w:rsidRDefault="00000000" w:rsidRPr="00000000" w14:paraId="0000009F">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0">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(iv)</w:t>
        <w:tab/>
        <w:t xml:space="preserve">any communications from the Information Commissioner or any other regulatory authority in connection with Personal Data; and</w:t>
      </w:r>
    </w:p>
    <w:p w:rsidR="00000000" w:rsidDel="00000000" w:rsidP="00000000" w:rsidRDefault="00000000" w:rsidRPr="00000000" w14:paraId="000000A1">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(v)</w:t>
        <w:tab/>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2">
      <w:pPr>
        <w:ind w:left="120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3">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notify each other immediately if it receives any request, complaint or communication made as referred to in Clauses 2.1(a)(i) to (v); </w:t>
      </w:r>
    </w:p>
    <w:p w:rsidR="00000000" w:rsidDel="00000000" w:rsidP="00000000" w:rsidRDefault="00000000" w:rsidRPr="00000000" w14:paraId="000000A4">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5">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 </w:t>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6">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request from the Data Subject only the minimum information necessary to provide the Services and treat such extracted information as Confidential Information;</w:t>
      </w:r>
    </w:p>
    <w:p w:rsidR="00000000" w:rsidDel="00000000" w:rsidP="00000000" w:rsidRDefault="00000000" w:rsidRPr="00000000" w14:paraId="000000A7">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8">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9">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are aware of and comply with their duties under this Annex 2 (Joint Controller Agreement) and those in respect of Confidential Information </w:t>
      </w:r>
    </w:p>
    <w:p w:rsidR="00000000" w:rsidDel="00000000" w:rsidP="00000000" w:rsidRDefault="00000000" w:rsidRPr="00000000" w14:paraId="000000AA">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B">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C">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ensure that it has in place Protective Measures as appropriate to protect against a Personal Data Breach having taken account of the:</w:t>
      </w:r>
    </w:p>
    <w:p w:rsidR="00000000" w:rsidDel="00000000" w:rsidP="00000000" w:rsidRDefault="00000000" w:rsidRPr="00000000" w14:paraId="000000AD">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nature of the data to be protected;</w:t>
      </w:r>
    </w:p>
    <w:p w:rsidR="00000000" w:rsidDel="00000000" w:rsidP="00000000" w:rsidRDefault="00000000" w:rsidRPr="00000000" w14:paraId="000000AE">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harm that might result from a Personal Data Breach;</w:t>
      </w:r>
    </w:p>
    <w:p w:rsidR="00000000" w:rsidDel="00000000" w:rsidP="00000000" w:rsidRDefault="00000000" w:rsidRPr="00000000" w14:paraId="000000AF">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   state of technological development; and</w:t>
      </w:r>
    </w:p>
    <w:p w:rsidR="00000000" w:rsidDel="00000000" w:rsidP="00000000" w:rsidRDefault="00000000" w:rsidRPr="00000000" w14:paraId="000000B0">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(iv)   cost of implementing any measures;</w:t>
      </w:r>
    </w:p>
    <w:p w:rsidR="00000000" w:rsidDel="00000000" w:rsidP="00000000" w:rsidRDefault="00000000" w:rsidRPr="00000000" w14:paraId="000000B1">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2">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notifies the other Party as soon as it becomes aware of a Personal Data Breach. </w:t>
      </w:r>
    </w:p>
    <w:p w:rsidR="00000000" w:rsidDel="00000000" w:rsidP="00000000" w:rsidRDefault="00000000" w:rsidRPr="00000000" w14:paraId="000000B3">
      <w:pPr>
        <w:ind w:left="1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 </w:t>
        <w:tab/>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4">
      <w:pPr>
        <w:ind w:left="11" w:hanging="720"/>
        <w:rPr>
          <w:rFonts w:ascii="Arial" w:cs="Arial" w:eastAsia="Arial" w:hAnsi="Arial"/>
          <w:b w:val="1"/>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1"/>
          <w:sz w:val="24"/>
          <w:szCs w:val="24"/>
          <w:rtl w:val="0"/>
        </w:rPr>
        <w:t xml:space="preserve">. Data Protection Breach</w:t>
      </w:r>
    </w:p>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3.1 Without prejudice to clause 3.2, each Party shall notify the other Party promptly and without undue delay, and in any event within 48 hours, upon becoming aware of any Personal Data Breach or circumstances that are likely to give rise to a Personal Data Breach, providing the Relevant Authority and its advisors with:</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(a) sufficient information and in a timescale which allows the other Party to meet any obligations to report a Personal Data Breach under the Data Protection Legislation;</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(b) all reasonable assistance, including:</w:t>
      </w:r>
    </w:p>
    <w:p w:rsidR="00000000" w:rsidDel="00000000" w:rsidP="00000000" w:rsidRDefault="00000000" w:rsidRPr="00000000" w14:paraId="000000B8">
      <w:pPr>
        <w:numPr>
          <w:ilvl w:val="5"/>
          <w:numId w:val="6"/>
        </w:numPr>
        <w:pBdr>
          <w:top w:space="0" w:sz="0" w:val="nil"/>
          <w:left w:space="0" w:sz="0" w:val="nil"/>
          <w:bottom w:space="0" w:sz="0" w:val="nil"/>
          <w:right w:space="0" w:sz="0" w:val="nil"/>
          <w:between w:space="0" w:sz="0" w:val="nil"/>
        </w:pBdr>
        <w:ind w:left="12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9">
      <w:pPr>
        <w:numPr>
          <w:ilvl w:val="5"/>
          <w:numId w:val="6"/>
        </w:numPr>
        <w:pBdr>
          <w:top w:space="0" w:sz="0" w:val="nil"/>
          <w:left w:space="0" w:sz="0" w:val="nil"/>
          <w:bottom w:space="0" w:sz="0" w:val="nil"/>
          <w:right w:space="0" w:sz="0" w:val="nil"/>
          <w:between w:space="0" w:sz="0" w:val="nil"/>
        </w:pBdr>
        <w:ind w:left="12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co-operation with the other Party including taking such reasonable steps as are directed by the Relevant Authority to assist in the investigation, mitigation and remediation of a Personal Data Breach;</w:t>
      </w:r>
    </w:p>
    <w:p w:rsidR="00000000" w:rsidDel="00000000" w:rsidP="00000000" w:rsidRDefault="00000000" w:rsidRPr="00000000" w14:paraId="000000BA">
      <w:pPr>
        <w:numPr>
          <w:ilvl w:val="5"/>
          <w:numId w:val="6"/>
        </w:numPr>
        <w:pBdr>
          <w:top w:space="0" w:sz="0" w:val="nil"/>
          <w:left w:space="0" w:sz="0" w:val="nil"/>
          <w:bottom w:space="0" w:sz="0" w:val="nil"/>
          <w:right w:space="0" w:sz="0" w:val="nil"/>
          <w:between w:space="0" w:sz="0" w:val="nil"/>
        </w:pBdr>
        <w:ind w:left="12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B">
      <w:pPr>
        <w:numPr>
          <w:ilvl w:val="5"/>
          <w:numId w:val="6"/>
        </w:numPr>
        <w:pBdr>
          <w:top w:space="0" w:sz="0" w:val="nil"/>
          <w:left w:space="0" w:sz="0" w:val="nil"/>
          <w:bottom w:space="0" w:sz="0" w:val="nil"/>
          <w:right w:space="0" w:sz="0" w:val="nil"/>
          <w:between w:space="0" w:sz="0" w:val="nil"/>
        </w:pBdr>
        <w:ind w:left="12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C">
      <w:pPr>
        <w:rPr>
          <w:rFonts w:ascii="Arial" w:cs="Arial" w:eastAsia="Arial" w:hAnsi="Arial"/>
          <w:sz w:val="24"/>
          <w:szCs w:val="24"/>
        </w:rPr>
      </w:pPr>
      <w:r w:rsidDel="00000000" w:rsidR="00000000" w:rsidRPr="00000000">
        <w:rPr>
          <w:rFonts w:ascii="Arial" w:cs="Arial" w:eastAsia="Arial" w:hAnsi="Arial"/>
          <w:sz w:val="24"/>
          <w:szCs w:val="24"/>
          <w:rtl w:val="0"/>
        </w:rPr>
        <w:t xml:space="preserve">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(a) the nature of the Personal Data Breach; </w:t>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(b) the nature of Personal Data affected;</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(c) the categories and number of Data Subjects concerned;</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(d) the name and contact details of the Supplier’s Data Protection Officer or other relevant contact from whom more information may be obtained;</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(e) measures taken or proposed to be taken to address the Personal Data Breach; and</w:t>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(f) describe the likely consequences of the Personal Data Breach.</w:t>
      </w:r>
    </w:p>
    <w:p w:rsidR="00000000" w:rsidDel="00000000" w:rsidP="00000000" w:rsidRDefault="00000000" w:rsidRPr="00000000" w14:paraId="000000C3">
      <w:pPr>
        <w:keepNext w:val="1"/>
        <w:rPr>
          <w:rFonts w:ascii="Arial" w:cs="Arial" w:eastAsia="Arial" w:hAnsi="Arial"/>
          <w:b w:val="1"/>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1"/>
          <w:sz w:val="24"/>
          <w:szCs w:val="24"/>
          <w:rtl w:val="0"/>
        </w:rPr>
        <w:t xml:space="preserve">. Audit</w:t>
      </w:r>
    </w:p>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permit:</w:t>
        <w:tab/>
      </w:r>
    </w:p>
    <w:p w:rsidR="00000000" w:rsidDel="00000000" w:rsidP="00000000" w:rsidRDefault="00000000" w:rsidRPr="00000000" w14:paraId="000000C5">
      <w:pPr>
        <w:keepNext w:val="1"/>
        <w:numPr>
          <w:ilvl w:val="0"/>
          <w:numId w:val="8"/>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keepNext w:val="1"/>
        <w:numPr>
          <w:ilvl w:val="0"/>
          <w:numId w:val="8"/>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4.2 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Impact Assessments</w:t>
      </w:r>
    </w:p>
    <w:p w:rsidR="00000000" w:rsidDel="00000000" w:rsidP="00000000" w:rsidRDefault="00000000" w:rsidRPr="00000000" w14:paraId="000000CB">
      <w:pPr>
        <w:rPr>
          <w:rFonts w:ascii="Arial" w:cs="Arial" w:eastAsia="Arial" w:hAnsi="Arial"/>
          <w:sz w:val="24"/>
          <w:szCs w:val="24"/>
        </w:rPr>
      </w:pPr>
      <w:r w:rsidDel="00000000" w:rsidR="00000000" w:rsidRPr="00000000">
        <w:rPr>
          <w:rFonts w:ascii="Arial" w:cs="Arial" w:eastAsia="Arial" w:hAnsi="Arial"/>
          <w:sz w:val="24"/>
          <w:szCs w:val="24"/>
          <w:rtl w:val="0"/>
        </w:rPr>
        <w:t xml:space="preserve">5.1 The Parties shall:</w:t>
      </w:r>
    </w:p>
    <w:p w:rsidR="00000000" w:rsidDel="00000000" w:rsidP="00000000" w:rsidRDefault="00000000" w:rsidRPr="00000000" w14:paraId="000000CC">
      <w:pPr>
        <w:keepNext w:val="1"/>
        <w:numPr>
          <w:ilvl w:val="0"/>
          <w:numId w:val="7"/>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keepNext w:val="1"/>
        <w:numPr>
          <w:ilvl w:val="0"/>
          <w:numId w:val="7"/>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p>
    <w:p w:rsidR="00000000" w:rsidDel="00000000" w:rsidP="00000000" w:rsidRDefault="00000000" w:rsidRPr="00000000" w14:paraId="000000CF">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ICO Guidance</w:t>
      </w:r>
    </w:p>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Liabilities for Data Protection Breach</w:t>
      </w:r>
    </w:p>
    <w:p w:rsidR="00000000" w:rsidDel="00000000" w:rsidP="00000000" w:rsidRDefault="00000000" w:rsidRPr="00000000" w14:paraId="000000D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7.1 If financial penalties are imposed by the Information Commissioner on either the Relevant Authority or the Supplier for a Personal Data Breach ("</w:t>
      </w:r>
      <w:r w:rsidDel="00000000" w:rsidR="00000000" w:rsidRPr="00000000">
        <w:rPr>
          <w:rFonts w:ascii="Arial" w:cs="Arial" w:eastAsia="Arial" w:hAnsi="Arial"/>
          <w:b w:val="1"/>
          <w:sz w:val="24"/>
          <w:szCs w:val="24"/>
          <w:rtl w:val="0"/>
        </w:rPr>
        <w:t xml:space="preserve">Financial Penalties</w:t>
      </w:r>
      <w:r w:rsidDel="00000000" w:rsidR="00000000" w:rsidRPr="00000000">
        <w:rPr>
          <w:rFonts w:ascii="Arial" w:cs="Arial" w:eastAsia="Arial" w:hAnsi="Arial"/>
          <w:sz w:val="24"/>
          <w:szCs w:val="24"/>
          <w:rtl w:val="0"/>
        </w:rPr>
        <w:t xml:space="preserve">") then the following shall occur: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keepNext w:val="1"/>
        <w:numPr>
          <w:ilvl w:val="0"/>
          <w:numId w:val="3"/>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9">
      <w:pPr>
        <w:keepNext w:val="1"/>
        <w:numPr>
          <w:ilvl w:val="0"/>
          <w:numId w:val="3"/>
        </w:numPr>
        <w:pBdr>
          <w:top w:space="0" w:sz="0" w:val="nil"/>
          <w:left w:space="0" w:sz="0" w:val="nil"/>
          <w:bottom w:space="0" w:sz="0" w:val="nil"/>
          <w:right w:space="0" w:sz="0" w:val="nil"/>
          <w:between w:space="0" w:sz="0" w:val="nil"/>
        </w:pBdr>
        <w:spacing w:after="280" w:line="259" w:lineRule="auto"/>
        <w:ind w:left="720" w:hanging="36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sidDel="00000000" w:rsidR="00000000" w:rsidRPr="00000000">
        <w:rPr>
          <w:rFonts w:ascii="Arial" w:cs="Arial" w:eastAsia="Arial" w:hAnsi="Arial"/>
          <w:i w:val="1"/>
          <w:sz w:val="24"/>
          <w:szCs w:val="24"/>
          <w:rtl w:val="0"/>
        </w:rPr>
        <w:t xml:space="preserve">Resolving disputes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DA">
      <w:pPr>
        <w:pStyle w:val="Heading2"/>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7.2 If either the Relevant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sz w:val="24"/>
          <w:szCs w:val="24"/>
          <w:rtl w:val="0"/>
        </w:rPr>
        <w:t xml:space="preserve">Authority or the Supplier is the defendant in a legal claim brought before a court of competent jurisdiction (“</w:t>
      </w:r>
      <w:r w:rsidDel="00000000" w:rsidR="00000000" w:rsidRPr="00000000">
        <w:rPr>
          <w:rFonts w:ascii="Arial" w:cs="Arial" w:eastAsia="Arial" w:hAnsi="Arial"/>
          <w:sz w:val="24"/>
          <w:szCs w:val="24"/>
          <w:rtl w:val="0"/>
        </w:rPr>
        <w:t xml:space="preserve">Court</w:t>
      </w:r>
      <w:r w:rsidDel="00000000" w:rsidR="00000000" w:rsidRPr="00000000">
        <w:rPr>
          <w:rFonts w:ascii="Arial" w:cs="Arial" w:eastAsia="Arial" w:hAnsi="Arial"/>
          <w:b w:val="0"/>
          <w:sz w:val="24"/>
          <w:szCs w:val="24"/>
          <w:rtl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B">
      <w:pPr>
        <w:pStyle w:val="Heading2"/>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7.3 In respect of any losses, cost claims or expenses incurred by either Party as a result of a Personal Data Breach (the “</w:t>
      </w:r>
      <w:r w:rsidDel="00000000" w:rsidR="00000000" w:rsidRPr="00000000">
        <w:rPr>
          <w:rFonts w:ascii="Arial" w:cs="Arial" w:eastAsia="Arial" w:hAnsi="Arial"/>
          <w:sz w:val="24"/>
          <w:szCs w:val="24"/>
          <w:rtl w:val="0"/>
        </w:rPr>
        <w:t xml:space="preserve">Claim Losses</w:t>
      </w:r>
      <w:r w:rsidDel="00000000" w:rsidR="00000000" w:rsidRPr="00000000">
        <w:rPr>
          <w:rFonts w:ascii="Arial" w:cs="Arial" w:eastAsia="Arial" w:hAnsi="Arial"/>
          <w:b w:val="0"/>
          <w:sz w:val="24"/>
          <w:szCs w:val="24"/>
          <w:rtl w:val="0"/>
        </w:rPr>
        <w:t xml:space="preserve">”):</w:t>
      </w:r>
    </w:p>
    <w:p w:rsidR="00000000" w:rsidDel="00000000" w:rsidP="00000000" w:rsidRDefault="00000000" w:rsidRPr="00000000" w14:paraId="000000DC">
      <w:pPr>
        <w:pStyle w:val="Heading3"/>
        <w:keepNext w:val="0"/>
        <w:keepLines w:val="0"/>
        <w:spacing w:after="240" w:before="0" w:lineRule="auto"/>
        <w:ind w:left="11" w:firstLine="0"/>
        <w:jc w:val="both"/>
        <w:rPr>
          <w:rFonts w:ascii="Arial" w:cs="Arial" w:eastAsia="Arial" w:hAnsi="Arial"/>
          <w:b w:val="0"/>
          <w:sz w:val="24"/>
          <w:szCs w:val="24"/>
        </w:rPr>
      </w:pPr>
      <w:r w:rsidDel="00000000" w:rsidR="00000000" w:rsidRPr="00000000">
        <w:rPr>
          <w:rtl w:val="0"/>
        </w:rPr>
      </w:r>
    </w:p>
    <w:p w:rsidR="00000000" w:rsidDel="00000000" w:rsidP="00000000" w:rsidRDefault="00000000" w:rsidRPr="00000000" w14:paraId="000000DD">
      <w:pPr>
        <w:keepNext w:val="1"/>
        <w:numPr>
          <w:ilvl w:val="0"/>
          <w:numId w:val="4"/>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keepNext w:val="1"/>
        <w:numPr>
          <w:ilvl w:val="0"/>
          <w:numId w:val="4"/>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keepNext w:val="1"/>
        <w:numPr>
          <w:ilvl w:val="0"/>
          <w:numId w:val="4"/>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sz w:val="24"/>
          <w:szCs w:val="24"/>
          <w:rtl w:val="0"/>
        </w:rPr>
        <w:t xml:space="preserve">7.4 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4">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 Termination</w:t>
      </w:r>
    </w:p>
    <w:p w:rsidR="00000000" w:rsidDel="00000000" w:rsidP="00000000" w:rsidRDefault="00000000" w:rsidRPr="00000000" w14:paraId="000000E5">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9. Sub-Processing</w:t>
      </w:r>
      <w:r w:rsidDel="00000000" w:rsidR="00000000" w:rsidRPr="00000000">
        <w:rPr>
          <w:rtl w:val="0"/>
        </w:rPr>
      </w:r>
    </w:p>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sz w:val="24"/>
          <w:szCs w:val="24"/>
          <w:rtl w:val="0"/>
        </w:rPr>
        <w:t xml:space="preserve">10.1 In respect of any Processing of Personal Data performed by a third party on behalf of a Party, that Party shall:</w:t>
      </w:r>
    </w:p>
    <w:p w:rsidR="00000000" w:rsidDel="00000000" w:rsidP="00000000" w:rsidRDefault="00000000" w:rsidRPr="00000000" w14:paraId="000000E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ensure that a suitable agreement is in place with the third party as required under applicable Data Protection Legislation.</w:t>
      </w:r>
    </w:p>
    <w:p w:rsidR="00000000" w:rsidDel="00000000" w:rsidP="00000000" w:rsidRDefault="00000000" w:rsidRPr="00000000" w14:paraId="000000EA">
      <w:pPr>
        <w:keepNext w:val="1"/>
        <w:keepLines w:val="1"/>
        <w:rPr>
          <w:rFonts w:ascii="Arial" w:cs="Arial" w:eastAsia="Arial" w:hAnsi="Arial"/>
          <w:sz w:val="24"/>
          <w:szCs w:val="24"/>
        </w:rPr>
      </w:pPr>
      <w:r w:rsidDel="00000000" w:rsidR="00000000" w:rsidRPr="00000000">
        <w:rPr>
          <w:rFonts w:ascii="Arial" w:cs="Arial" w:eastAsia="Arial" w:hAnsi="Arial"/>
          <w:b w:val="1"/>
          <w:sz w:val="24"/>
          <w:szCs w:val="24"/>
          <w:rtl w:val="0"/>
        </w:rPr>
        <w:t xml:space="preserve">10. 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240" w:lineRule="auto"/>
        <w:jc w:val="both"/>
        <w:rPr>
          <w:rFonts w:ascii="Arial" w:cs="Arial" w:eastAsia="Arial" w:hAnsi="Arial"/>
          <w:b w:val="1"/>
          <w:color w:val="000000"/>
          <w:sz w:val="24"/>
          <w:szCs w:val="24"/>
        </w:rPr>
      </w:pPr>
      <w:bookmarkStart w:colFirst="0" w:colLast="0" w:name="_heading=h.44sinio" w:id="2"/>
      <w:bookmarkEnd w:id="2"/>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tab/>
      <w:t xml:space="preserve">                                           </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1">
    <w:pPr>
      <w:spacing w:after="0" w:lineRule="auto"/>
      <w:rPr/>
    </w:pPr>
    <w:r w:rsidDel="00000000" w:rsidR="00000000" w:rsidRPr="00000000">
      <w:rPr>
        <w:rFonts w:ascii="Arial" w:cs="Arial" w:eastAsia="Arial" w:hAnsi="Arial"/>
        <w:sz w:val="20"/>
        <w:szCs w:val="20"/>
        <w:rtl w:val="0"/>
      </w:rPr>
      <w:t xml:space="preserve">Model Version: v4.1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4">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0"/>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0"/>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1"/>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1"/>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1"/>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coidFSvk9DTTS+7r526JSFc5xA==">CgMxLjAaHwoBMBIaChgICVIUChJ0YWJsZS4xYmE0dTU4YjcxMW8yCWguMjZpbjFyZzIIaC5namRneHMyCWguNDRzaW5pbzgAciExRFhSYU54WEFxdU1IVVhFVFQ3SnI2WlRRd3ZjZXMzS0c=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2025-02-07T13:45:00Z</dcterms:created>
  <dc:creator>Richard Landor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